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AE" w:rsidRPr="00FB6103" w:rsidRDefault="00337FAE" w:rsidP="00337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Cs w:val="22"/>
        </w:rPr>
      </w:pPr>
      <w:r w:rsidRPr="00FB6103">
        <w:rPr>
          <w:b/>
          <w:bCs/>
          <w:szCs w:val="22"/>
        </w:rPr>
        <w:t>Lernkontrollen und Leistungs</w:t>
      </w:r>
      <w:r w:rsidR="005F1399">
        <w:rPr>
          <w:b/>
          <w:bCs/>
          <w:szCs w:val="22"/>
        </w:rPr>
        <w:t>bewertung i</w:t>
      </w:r>
      <w:r w:rsidR="00FD0310">
        <w:rPr>
          <w:b/>
          <w:bCs/>
          <w:szCs w:val="22"/>
        </w:rPr>
        <w:t xml:space="preserve">m Fach </w:t>
      </w:r>
      <w:r w:rsidR="00A02028">
        <w:rPr>
          <w:b/>
          <w:bCs/>
          <w:szCs w:val="22"/>
        </w:rPr>
        <w:t xml:space="preserve">Technik </w:t>
      </w:r>
      <w:r w:rsidR="00C039DB">
        <w:rPr>
          <w:b/>
          <w:bCs/>
          <w:szCs w:val="22"/>
        </w:rPr>
        <w:t>(Haupt</w:t>
      </w:r>
      <w:r w:rsidR="00FD0310">
        <w:rPr>
          <w:b/>
          <w:bCs/>
          <w:szCs w:val="22"/>
        </w:rPr>
        <w:t>schule)</w:t>
      </w:r>
    </w:p>
    <w:p w:rsidR="00337FAE" w:rsidRPr="00FB6103" w:rsidRDefault="005F1399" w:rsidP="00337FAE">
      <w:pPr>
        <w:pStyle w:val="Textkrper"/>
        <w:rPr>
          <w:szCs w:val="22"/>
        </w:rPr>
      </w:pPr>
      <w:proofErr w:type="spellStart"/>
      <w:r>
        <w:rPr>
          <w:szCs w:val="22"/>
        </w:rPr>
        <w:t>Vgl</w:t>
      </w:r>
      <w:proofErr w:type="spellEnd"/>
      <w:r>
        <w:rPr>
          <w:szCs w:val="22"/>
        </w:rPr>
        <w:t xml:space="preserve"> Curriculare Vorgaben für das</w:t>
      </w:r>
      <w:r w:rsidR="00C039DB">
        <w:rPr>
          <w:szCs w:val="22"/>
        </w:rPr>
        <w:t xml:space="preserve"> Fach Technik in der Haupt</w:t>
      </w:r>
      <w:r w:rsidR="00FD0310">
        <w:rPr>
          <w:szCs w:val="22"/>
        </w:rPr>
        <w:t>schule 2010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>Leistungsfeststellungen und Leistungsbewertungen geben den Schülerinnen und Schülern Rückmel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d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ungen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über die erworbenen Kompetenzen und den Lehrkräften Orientierung für die weitere Planung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des Unterrichts sowie für notwendige Maßnahmen zur individuellen Förderung.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Leistungen im Unterricht werden in allen Kompetenzbereichen festgestellt. Dabei ist zu bedenken,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dass die sozialen und personalen Kompetenzen, die über das Fachliche hinausgehen, von den im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Kerncurriculum formulierten erwarteten Kompetenzen nur in Ansätzen erfasst werden.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Das Erkennen von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Fehlern und der produktive Umgang mit ihnen sind konstruktiver Teil des Lernprozesses. Für den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weiteren Lernfortschritt ist es wichtig, bereits erworbene Kompetenzen herauszustellen und Schülerinnen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und Schüler zum Weiterlernen zu ermutigen.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Bei Leistungs- und Überprüfungssituationen steht die Vermeidung von Fehlern im Vordergrund. Das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Ziel ist, die Verfügbarkeit der erwarteten Kompetenzen nachzuweisen.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Ein an Kompetenzerwerb orientierter Unterricht bietet den Schülerinnen und Schülern durch geeignete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Aufgaben einerseits ausreichend Gelegenheiten, Problemlösungen zu erproben, andererseits fordert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er den Kompetenznachweis in Leistungssituationen ein. Dies schließt die Förderung der Fähigkeit zur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Selbsteinschätzung der Leistung ein.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Neben der kontinuierlichen Beobachtung der Schülerinnen und Schüler im Lernprozess und ihrer individuellen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Lernfortschritte, die in der Dokumentation der individuellen Lernentwicklung erfasst werden,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sind die Ergebnisse schriftlicher, mündlicher und fachspezifischer Leistungen wie planerische, fachpraktische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>und gestalterische Leistungen zur Leistungsfeststellung heranzuziehen.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Festlegungen zur Anzahl der bewerteten schriftlichen Lernkontrollen trifft die Fachkonferenz auf der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>Grundlage der Vorgaben des Erlasses „Die Arbeit in der Hauptschule“ in der jeweils gültigen Fassung.</w:t>
      </w:r>
    </w:p>
    <w:p w:rsidR="00C039DB" w:rsidRP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>Im Fach Technik kommt der Lösung der fachgebundenen Aufgaben ein besonderer Stellenwert zu.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>Das Planen, Herstellen und Bewerten technischer Produkte trägt wesentlich zum technischen Verständnis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der Schülerinnen und Schüler bei, hierbei ist besonders auf die Qualität der Lösung zu achten.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Mündliche und fachgebundene Leistungen haben deshalb bei der Bestimmung einer Gesamtzensur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ein deutlich höheres Gewicht als die schriftlichen Leistungen.</w:t>
      </w:r>
    </w:p>
    <w:p w:rsidR="00C039DB" w:rsidRP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>Zu den planerischen, fachpraktischen und gestalterischen Leistungen zählen unter anderem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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Planung, Herstellung und Bewertung von Produkten (Geräten)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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Arbeitsorganisation (Zielstrebigkeit, Zeitmanagement, Selbstständigkeit, Einsatz von Materialien,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>Werkzeugen und Maschinen)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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Qualität der Ausführung (</w:t>
      </w:r>
      <w:proofErr w:type="spellStart"/>
      <w:r>
        <w:rPr>
          <w:rFonts w:ascii="Helvetica" w:eastAsiaTheme="minorHAnsi" w:hAnsi="Helvetica" w:cs="Helvetica"/>
          <w:sz w:val="20"/>
          <w:szCs w:val="20"/>
          <w:lang w:eastAsia="en-US"/>
        </w:rPr>
        <w:t>einz</w:t>
      </w:r>
      <w:proofErr w:type="spellEnd"/>
      <w:r>
        <w:rPr>
          <w:rFonts w:ascii="Helvetica" w:eastAsiaTheme="minorHAnsi" w:hAnsi="Helvetica" w:cs="Helvetica"/>
          <w:sz w:val="20"/>
          <w:szCs w:val="20"/>
          <w:lang w:eastAsia="en-US"/>
        </w:rPr>
        <w:t>. Fertigungsschritte) und des Endprodukts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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Gestaltung der Ausführung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>Zu den mündlichen und anderen fachspezifischen Leistungen zählen z.B.: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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Beiträge zum Unterrichtsgespräch (Zusammenfassen und Berichten)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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Unterrichtsdokumentation (Protokolle, Darstellen von Teillösungen und Ergebnissen des Unterrichts)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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Präsentation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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Bewertung (Auswertung von Arbeitsergebnissen und technischen Lösungsmöglichkeiten)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>Bei kooperativen Arbeitsformen sind sowohl die individuelle Leistung als auch die Gesamtleistung der</w:t>
      </w:r>
    </w:p>
    <w:p w:rsidR="00C039DB" w:rsidRDefault="00C039DB" w:rsidP="00C039DB">
      <w:pPr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>Gruppe in die Bewertung einzubeziehen. So werden neben methodisch-strategischen auch die sozialkommunikativen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Leistungen angemessen einbezogen.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Zu zensierende schriftliche Lernkontrollen müssen aus dem Unterricht erwachsen. Die Aufgabenstellungen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der schriftlichen Lernkontrollen beinhalten alle im Kerncurriculum beschriebenen Kompetenzbereiche.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Die Grundsätze der Leistungsfeststellung müssen für Schülerinnen und Schüler sowie für die Erziehungsberechtigten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  <w:lang w:eastAsia="en-US"/>
        </w:rPr>
        <w:t>transparent sein und erläutert werden.</w:t>
      </w:r>
    </w:p>
    <w:tbl>
      <w:tblPr>
        <w:tblW w:w="762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2285"/>
        <w:gridCol w:w="2329"/>
      </w:tblGrid>
      <w:tr w:rsidR="005F1399" w:rsidRPr="00FB6103" w:rsidTr="005F1399">
        <w:trPr>
          <w:trHeight w:val="20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399" w:rsidRPr="00FB6103" w:rsidRDefault="005F1399" w:rsidP="008D7AA3">
            <w:pPr>
              <w:snapToGrid w:val="0"/>
              <w:rPr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399" w:rsidRPr="00FB6103" w:rsidRDefault="00FD0310" w:rsidP="008D7AA3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  <w:r w:rsidR="005F1399" w:rsidRPr="00FB6103">
              <w:rPr>
                <w:b/>
                <w:bCs/>
                <w:szCs w:val="22"/>
              </w:rPr>
              <w:t xml:space="preserve">. </w:t>
            </w:r>
            <w:proofErr w:type="spellStart"/>
            <w:r w:rsidR="005F1399" w:rsidRPr="00FB6103">
              <w:rPr>
                <w:b/>
                <w:bCs/>
                <w:szCs w:val="22"/>
              </w:rPr>
              <w:t>Jahrg</w:t>
            </w:r>
            <w:proofErr w:type="spellEnd"/>
            <w:r w:rsidR="005F1399" w:rsidRPr="00FB6103">
              <w:rPr>
                <w:b/>
                <w:bCs/>
                <w:szCs w:val="22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99" w:rsidRPr="00FB6103" w:rsidRDefault="00FD0310" w:rsidP="008D7AA3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  <w:r w:rsidR="005F1399" w:rsidRPr="00FB6103">
              <w:rPr>
                <w:b/>
                <w:bCs/>
                <w:szCs w:val="22"/>
              </w:rPr>
              <w:t xml:space="preserve">. </w:t>
            </w:r>
            <w:proofErr w:type="spellStart"/>
            <w:r w:rsidR="005F1399" w:rsidRPr="00FB6103">
              <w:rPr>
                <w:b/>
                <w:bCs/>
                <w:szCs w:val="22"/>
              </w:rPr>
              <w:t>Jahrg</w:t>
            </w:r>
            <w:proofErr w:type="spellEnd"/>
            <w:r w:rsidR="005F1399" w:rsidRPr="00FB6103">
              <w:rPr>
                <w:b/>
                <w:bCs/>
                <w:szCs w:val="22"/>
              </w:rPr>
              <w:t>.</w:t>
            </w:r>
          </w:p>
        </w:tc>
      </w:tr>
      <w:tr w:rsidR="005F1399" w:rsidRPr="00FB6103" w:rsidTr="005F1399">
        <w:trPr>
          <w:trHeight w:val="25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399" w:rsidRPr="00FB6103" w:rsidRDefault="005F1399" w:rsidP="008D7AA3">
            <w:pPr>
              <w:snapToGrid w:val="0"/>
              <w:spacing w:before="60"/>
              <w:rPr>
                <w:szCs w:val="22"/>
              </w:rPr>
            </w:pPr>
            <w:r w:rsidRPr="00FB6103">
              <w:rPr>
                <w:szCs w:val="22"/>
              </w:rPr>
              <w:t>Wochenstunden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399" w:rsidRPr="00FB6103" w:rsidRDefault="00FD0310" w:rsidP="008D7AA3">
            <w:pPr>
              <w:snapToGrid w:val="0"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99" w:rsidRPr="00FB6103" w:rsidRDefault="00FD0310" w:rsidP="008D7AA3">
            <w:pPr>
              <w:snapToGrid w:val="0"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F1399" w:rsidRPr="00FB6103" w:rsidTr="005F1399">
        <w:trPr>
          <w:trHeight w:val="45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399" w:rsidRPr="00FB6103" w:rsidRDefault="005F1399" w:rsidP="008D7AA3">
            <w:pPr>
              <w:snapToGrid w:val="0"/>
              <w:spacing w:before="60"/>
              <w:rPr>
                <w:szCs w:val="22"/>
              </w:rPr>
            </w:pPr>
            <w:r w:rsidRPr="00FB6103">
              <w:rPr>
                <w:szCs w:val="22"/>
              </w:rPr>
              <w:t>Zahl der schriftl. Lernkontrollen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399" w:rsidRPr="00FB6103" w:rsidRDefault="00FD0310" w:rsidP="008D7AA3">
            <w:pPr>
              <w:snapToGrid w:val="0"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399" w:rsidRPr="00FB6103" w:rsidRDefault="00FD0310" w:rsidP="008D7AA3">
            <w:pPr>
              <w:snapToGrid w:val="0"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F1399" w:rsidRPr="00FB6103" w:rsidTr="005F1399">
        <w:trPr>
          <w:trHeight w:val="26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399" w:rsidRPr="00FB6103" w:rsidRDefault="005F1399" w:rsidP="008D7AA3">
            <w:pPr>
              <w:snapToGrid w:val="0"/>
              <w:spacing w:before="60"/>
              <w:rPr>
                <w:szCs w:val="22"/>
              </w:rPr>
            </w:pPr>
            <w:r w:rsidRPr="00FB6103">
              <w:rPr>
                <w:szCs w:val="22"/>
              </w:rPr>
              <w:t>max. Dauer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399" w:rsidRPr="00FB6103" w:rsidRDefault="005F1399" w:rsidP="008D7AA3">
            <w:pPr>
              <w:snapToGrid w:val="0"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FB6103">
              <w:rPr>
                <w:szCs w:val="22"/>
              </w:rPr>
              <w:t xml:space="preserve"> Std.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99" w:rsidRPr="00FB6103" w:rsidRDefault="005F1399" w:rsidP="008D7AA3">
            <w:pPr>
              <w:snapToGrid w:val="0"/>
              <w:spacing w:before="60"/>
              <w:jc w:val="center"/>
              <w:rPr>
                <w:szCs w:val="22"/>
              </w:rPr>
            </w:pPr>
            <w:r w:rsidRPr="00FB6103">
              <w:rPr>
                <w:szCs w:val="22"/>
              </w:rPr>
              <w:t>2 Std.</w:t>
            </w:r>
          </w:p>
        </w:tc>
      </w:tr>
    </w:tbl>
    <w:p w:rsidR="00337FAE" w:rsidRPr="00FB6103" w:rsidRDefault="00337FAE" w:rsidP="00337FAE">
      <w:pPr>
        <w:rPr>
          <w:szCs w:val="22"/>
        </w:rPr>
      </w:pPr>
    </w:p>
    <w:p w:rsidR="00337FAE" w:rsidRPr="00FB6103" w:rsidRDefault="00337FAE" w:rsidP="00337FAE">
      <w:pPr>
        <w:numPr>
          <w:ilvl w:val="0"/>
          <w:numId w:val="3"/>
        </w:numPr>
        <w:tabs>
          <w:tab w:val="left" w:pos="360"/>
        </w:tabs>
        <w:rPr>
          <w:b/>
          <w:bCs/>
          <w:szCs w:val="22"/>
        </w:rPr>
      </w:pPr>
      <w:r w:rsidRPr="00FB6103">
        <w:rPr>
          <w:b/>
          <w:bCs/>
          <w:szCs w:val="22"/>
        </w:rPr>
        <w:t xml:space="preserve">Benotung: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3"/>
        <w:gridCol w:w="4469"/>
      </w:tblGrid>
      <w:tr w:rsidR="00337FAE" w:rsidRPr="00FB6103" w:rsidTr="008D7AA3"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AE" w:rsidRPr="00FB6103" w:rsidRDefault="00337FAE" w:rsidP="008D7AA3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FB6103">
              <w:rPr>
                <w:b/>
                <w:bCs/>
                <w:szCs w:val="22"/>
              </w:rPr>
              <w:t>M</w:t>
            </w:r>
            <w:r w:rsidR="00B22379">
              <w:rPr>
                <w:b/>
                <w:bCs/>
                <w:szCs w:val="22"/>
              </w:rPr>
              <w:t>ündliche Leistungsüberprüfung (6</w:t>
            </w:r>
            <w:r w:rsidRPr="00FB6103">
              <w:rPr>
                <w:b/>
                <w:bCs/>
                <w:szCs w:val="22"/>
              </w:rPr>
              <w:t>0%)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AE" w:rsidRPr="00FB6103" w:rsidRDefault="00337FAE" w:rsidP="008D7AA3">
            <w:pPr>
              <w:pStyle w:val="berschrift1"/>
              <w:snapToGrid w:val="0"/>
              <w:jc w:val="center"/>
              <w:rPr>
                <w:szCs w:val="22"/>
              </w:rPr>
            </w:pPr>
            <w:r w:rsidRPr="00FB6103">
              <w:rPr>
                <w:szCs w:val="22"/>
              </w:rPr>
              <w:t>Schr</w:t>
            </w:r>
            <w:r w:rsidR="00B22379">
              <w:rPr>
                <w:szCs w:val="22"/>
              </w:rPr>
              <w:t>iftliche Leistungsüberprüfung (4</w:t>
            </w:r>
            <w:r w:rsidRPr="00FB6103">
              <w:rPr>
                <w:szCs w:val="22"/>
              </w:rPr>
              <w:t>0%)</w:t>
            </w:r>
          </w:p>
        </w:tc>
      </w:tr>
    </w:tbl>
    <w:p w:rsidR="00337FAE" w:rsidRPr="00FB6103" w:rsidRDefault="00337FAE" w:rsidP="00C039DB">
      <w:pPr>
        <w:pStyle w:val="Textkrper31"/>
        <w:rPr>
          <w:sz w:val="22"/>
          <w:szCs w:val="22"/>
        </w:rPr>
      </w:pPr>
      <w:bookmarkStart w:id="0" w:name="_GoBack"/>
      <w:bookmarkEnd w:id="0"/>
    </w:p>
    <w:sectPr w:rsidR="00337FAE" w:rsidRPr="00FB6103">
      <w:headerReference w:type="default" r:id="rId7"/>
      <w:pgSz w:w="11906" w:h="16838"/>
      <w:pgMar w:top="1417" w:right="1286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6A" w:rsidRDefault="0019666A">
      <w:pPr>
        <w:spacing w:line="240" w:lineRule="auto"/>
      </w:pPr>
      <w:r>
        <w:separator/>
      </w:r>
    </w:p>
  </w:endnote>
  <w:endnote w:type="continuationSeparator" w:id="0">
    <w:p w:rsidR="0019666A" w:rsidRDefault="0019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6A" w:rsidRDefault="0019666A">
      <w:pPr>
        <w:spacing w:line="240" w:lineRule="auto"/>
      </w:pPr>
      <w:r>
        <w:separator/>
      </w:r>
    </w:p>
  </w:footnote>
  <w:footnote w:type="continuationSeparator" w:id="0">
    <w:p w:rsidR="0019666A" w:rsidRDefault="00196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B0" w:rsidRDefault="00337FAE">
    <w:pPr>
      <w:pStyle w:val="Kopfzeile"/>
      <w:pBdr>
        <w:bottom w:val="single" w:sz="4" w:space="0" w:color="000000"/>
      </w:pBdr>
    </w:pP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-154940</wp:posOffset>
          </wp:positionV>
          <wp:extent cx="654050" cy="5461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E54">
      <w:tab/>
      <w:t>Lernkontrollen und Leistungsbewertung</w:t>
    </w:r>
    <w:r w:rsidR="00475E54">
      <w:tab/>
      <w:t>FB AWT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2">
    <w:nsid w:val="00000003"/>
    <w:multiLevelType w:val="singleLevel"/>
    <w:tmpl w:val="00000003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AE"/>
    <w:rsid w:val="0001010C"/>
    <w:rsid w:val="00053DD7"/>
    <w:rsid w:val="0019666A"/>
    <w:rsid w:val="0022184E"/>
    <w:rsid w:val="00337FAE"/>
    <w:rsid w:val="003A512F"/>
    <w:rsid w:val="00403C63"/>
    <w:rsid w:val="00450F47"/>
    <w:rsid w:val="00475E54"/>
    <w:rsid w:val="005F1399"/>
    <w:rsid w:val="006F16CB"/>
    <w:rsid w:val="007B16B0"/>
    <w:rsid w:val="007E54AD"/>
    <w:rsid w:val="008E6ACE"/>
    <w:rsid w:val="009A01E5"/>
    <w:rsid w:val="00A02028"/>
    <w:rsid w:val="00B22379"/>
    <w:rsid w:val="00B840C4"/>
    <w:rsid w:val="00C039DB"/>
    <w:rsid w:val="00C60D7E"/>
    <w:rsid w:val="00E644B8"/>
    <w:rsid w:val="00FB6103"/>
    <w:rsid w:val="00F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8BF92-7C9F-4A82-9704-FE1823EC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FAE"/>
    <w:pPr>
      <w:suppressAutoHyphens/>
      <w:spacing w:after="0" w:line="312" w:lineRule="auto"/>
    </w:pPr>
    <w:rPr>
      <w:rFonts w:ascii="Bell MT" w:eastAsia="Times New Roman" w:hAnsi="Bell MT" w:cs="Times New Roman"/>
      <w:sz w:val="22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37FAE"/>
    <w:pPr>
      <w:keepNext/>
      <w:numPr>
        <w:numId w:val="1"/>
      </w:num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7FAE"/>
    <w:rPr>
      <w:rFonts w:ascii="Bell MT" w:eastAsia="Times New Roman" w:hAnsi="Bell MT" w:cs="Times New Roman"/>
      <w:b/>
      <w:bCs/>
      <w:sz w:val="22"/>
      <w:szCs w:val="24"/>
      <w:lang w:eastAsia="ar-SA"/>
    </w:rPr>
  </w:style>
  <w:style w:type="paragraph" w:styleId="Textkrper">
    <w:name w:val="Body Text"/>
    <w:basedOn w:val="Standard"/>
    <w:link w:val="TextkrperZchn"/>
    <w:rsid w:val="00337FA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337FAE"/>
    <w:rPr>
      <w:rFonts w:ascii="Bell MT" w:eastAsia="Times New Roman" w:hAnsi="Bell MT" w:cs="Times New Roman"/>
      <w:i/>
      <w:iCs/>
      <w:sz w:val="22"/>
      <w:szCs w:val="24"/>
      <w:lang w:eastAsia="ar-SA"/>
    </w:rPr>
  </w:style>
  <w:style w:type="paragraph" w:styleId="Kopfzeile">
    <w:name w:val="header"/>
    <w:basedOn w:val="Standard"/>
    <w:link w:val="KopfzeileZchn"/>
    <w:rsid w:val="00337FAE"/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KopfzeileZchn">
    <w:name w:val="Kopfzeile Zchn"/>
    <w:basedOn w:val="Absatz-Standardschriftart"/>
    <w:link w:val="Kopfzeile"/>
    <w:rsid w:val="00337FAE"/>
    <w:rPr>
      <w:rFonts w:ascii="Bell MT" w:eastAsia="Times New Roman" w:hAnsi="Bell MT" w:cs="Times New Roman"/>
      <w:b/>
      <w:sz w:val="18"/>
      <w:szCs w:val="24"/>
      <w:lang w:eastAsia="ar-SA"/>
    </w:rPr>
  </w:style>
  <w:style w:type="paragraph" w:customStyle="1" w:styleId="Textkrper31">
    <w:name w:val="Textkörper 31"/>
    <w:basedOn w:val="Standard"/>
    <w:rsid w:val="00337FAE"/>
    <w:rPr>
      <w:i/>
      <w:iCs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1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1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Hoffmann</dc:creator>
  <cp:keywords/>
  <dc:description/>
  <cp:lastModifiedBy>Gertrud Hoffmann</cp:lastModifiedBy>
  <cp:revision>2</cp:revision>
  <cp:lastPrinted>2015-03-18T18:52:00Z</cp:lastPrinted>
  <dcterms:created xsi:type="dcterms:W3CDTF">2015-03-18T19:01:00Z</dcterms:created>
  <dcterms:modified xsi:type="dcterms:W3CDTF">2015-03-18T19:01:00Z</dcterms:modified>
</cp:coreProperties>
</file>