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AE" w:rsidRPr="00FB6103" w:rsidRDefault="00337FAE" w:rsidP="00337FAE">
      <w:pPr>
        <w:pBdr>
          <w:top w:val="single" w:sz="4" w:space="1" w:color="000000"/>
          <w:left w:val="single" w:sz="4" w:space="4" w:color="000000"/>
          <w:bottom w:val="single" w:sz="4" w:space="1" w:color="000000"/>
          <w:right w:val="single" w:sz="4" w:space="4" w:color="000000"/>
        </w:pBdr>
        <w:jc w:val="center"/>
        <w:rPr>
          <w:b/>
          <w:bCs/>
          <w:szCs w:val="22"/>
        </w:rPr>
      </w:pPr>
      <w:r w:rsidRPr="00FB6103">
        <w:rPr>
          <w:b/>
          <w:bCs/>
          <w:szCs w:val="22"/>
        </w:rPr>
        <w:t>Lernkontrollen und Leistungs</w:t>
      </w:r>
      <w:r w:rsidR="005F1399">
        <w:rPr>
          <w:b/>
          <w:bCs/>
          <w:szCs w:val="22"/>
        </w:rPr>
        <w:t>bewertung im Profil Gesundheit und Soziales</w:t>
      </w:r>
    </w:p>
    <w:p w:rsidR="00337FAE" w:rsidRPr="00FB6103" w:rsidRDefault="005F1399" w:rsidP="00337FAE">
      <w:pPr>
        <w:pStyle w:val="Textkrper"/>
        <w:rPr>
          <w:szCs w:val="22"/>
        </w:rPr>
      </w:pPr>
      <w:proofErr w:type="spellStart"/>
      <w:r>
        <w:rPr>
          <w:szCs w:val="22"/>
        </w:rPr>
        <w:t>Vgl</w:t>
      </w:r>
      <w:proofErr w:type="spellEnd"/>
      <w:r>
        <w:rPr>
          <w:szCs w:val="22"/>
        </w:rPr>
        <w:t xml:space="preserve"> Curriculare Vorgaben für das Profil Gesundheit und Soziales 2011</w:t>
      </w:r>
    </w:p>
    <w:p w:rsidR="00475E54" w:rsidRDefault="00475E54" w:rsidP="00337FAE">
      <w:pPr>
        <w:suppressAutoHyphens w:val="0"/>
        <w:autoSpaceDE w:val="0"/>
        <w:autoSpaceDN w:val="0"/>
        <w:adjustRightInd w:val="0"/>
        <w:spacing w:line="240" w:lineRule="auto"/>
        <w:rPr>
          <w:rFonts w:ascii="Helvetica" w:hAnsi="Helvetica" w:cs="Helvetica"/>
          <w:szCs w:val="22"/>
          <w:lang w:eastAsia="de-DE"/>
        </w:rPr>
      </w:pP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 xml:space="preserve">Neben der kontinuierlichen Beobachtung der Schülerinnen und Schüler im Lernprozess und ihrer individuellen Lernfortschritte, die in der Dokumentation der individuellen Lernentwicklung erfasst werden, sind die Ergebnisse schriftlicher, mündlicher und anderer spezifischer Lernkontrollen sowie praktischen Tuns und Handelns zur Leistungsfeststellung heranzuziehen. </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Zu schriftlichen Lernkontrollen zählen: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Test, Protokoll, Praxisbericht</w:t>
      </w:r>
    </w:p>
    <w:p w:rsidR="00CC099D" w:rsidRDefault="00CC099D"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Mappe plus Ausarbeitung</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Erziehungs-, Bildungs- und Betreuungsplanung</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Projektdokumentation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Zu den mündlichen und anderen fachspezifischen Leistungen zählen unter anderem:</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Beiträge zum Unterrichtsgespräch (z.B. über Sachverhalte berichten, Fragestellungen dazu erkennen und entwickeln, fachlich korrekt argumentieren, diskutieren, reflektieren, zunehmend kritisch Stellung nehmen und bewerten)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Mündliche Überprüfungen (z.B. Referate, Vorträge)</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Dokumentationen (z.B. Mappe, Heft, Portfolio)</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Ergebnisse und Präsentationen (z.B. Vorstellung von Berufsbereichen und konkreten Berufen)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Umgang mit Medien der Informations- und Kommunikationstechnologie</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Selbstmanagement (Arbeitsorganisation, Zielorientierung, Zeitmanagement, Selbstständigkeit</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und Verantwortung)</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Ressourcenschonender Umgang mit fachspezifischen Materialien, Hilfsmitteln und Geräten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Freie Leistungsvergleiche (z.B. Schülerwettbewerbe)</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Praktische Übungen (z.B. Transfertechniken in der Pflege, Erste-Hilfe-Maßnahmen, Durchführung</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pädagogischer Aktivitäten mit einer Zielgruppe)</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ascii="Helvetica" w:eastAsiaTheme="minorHAnsi" w:hAnsi="Helvetica" w:cs="Helvetica"/>
          <w:sz w:val="20"/>
          <w:szCs w:val="20"/>
          <w:lang w:eastAsia="en-US"/>
        </w:rPr>
        <w:t>Handlungsprodukte (z.B. Werbeflyer, Fristenplan)</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 xml:space="preserve">Die Aufgabenstellungen der schriftlichen Lernkontrollen beinhalten </w:t>
      </w:r>
      <w:r>
        <w:rPr>
          <w:rFonts w:ascii="Helvetica-Bold" w:eastAsiaTheme="minorHAnsi" w:hAnsi="Helvetica-Bold" w:cs="Helvetica-Bold"/>
          <w:b/>
          <w:bCs/>
          <w:sz w:val="20"/>
          <w:szCs w:val="20"/>
          <w:lang w:eastAsia="en-US"/>
        </w:rPr>
        <w:t xml:space="preserve">alle </w:t>
      </w:r>
      <w:r>
        <w:rPr>
          <w:rFonts w:ascii="Helvetica" w:eastAsiaTheme="minorHAnsi" w:hAnsi="Helvetica" w:cs="Helvetica"/>
          <w:sz w:val="20"/>
          <w:szCs w:val="20"/>
          <w:lang w:eastAsia="en-US"/>
        </w:rPr>
        <w:t xml:space="preserve">in den Curricularen Vorgaben beschriebenen Kompetenzbereiche: Fachwissen, Erkenntnisgewinnung und Beurteilen/Bewerten. Die von den Schülerinnen und Schülern geforderten Leistungen basieren auf Materialien, die von Relevanz sind für die Lebenswelt der Jugendlichen. </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Schriftliche Lernkontrollen erfolgen prinzipiell auf der Grundlage materialgebundener Aufgabenstellungen. Mit Materialien sind nicht nur Texte, Bilder, Fotos, Karikaturen, Tabellen usw. gemeint, sondern auch Fallschilderungen oder Situationsdarstellungen, an die sich eine fachspezifische Analyse oder Beurteilung anschließt.</w:t>
      </w:r>
    </w:p>
    <w:p w:rsidR="005F1399" w:rsidRDefault="005F1399" w:rsidP="005F1399">
      <w:pPr>
        <w:suppressAutoHyphens w:val="0"/>
        <w:autoSpaceDE w:val="0"/>
        <w:autoSpaceDN w:val="0"/>
        <w:adjustRightInd w:val="0"/>
        <w:spacing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Mündliche und fachspezifische Leistungen haben deshalb bei der Bestimmung einer Gesamtzensur ein deutlich höheres Gewicht als die schriftlichen Leistungen. Der Anteil der schriftlichen Leistungen</w:t>
      </w:r>
    </w:p>
    <w:p w:rsidR="005F1399" w:rsidRPr="00FB6103" w:rsidRDefault="005F1399" w:rsidP="005F1399">
      <w:pPr>
        <w:suppressAutoHyphens w:val="0"/>
        <w:autoSpaceDE w:val="0"/>
        <w:autoSpaceDN w:val="0"/>
        <w:adjustRightInd w:val="0"/>
        <w:spacing w:line="240" w:lineRule="auto"/>
        <w:rPr>
          <w:rFonts w:ascii="Helvetica" w:hAnsi="Helvetica" w:cs="Helvetica"/>
          <w:szCs w:val="22"/>
          <w:lang w:eastAsia="de-DE"/>
        </w:rPr>
      </w:pPr>
      <w:proofErr w:type="gramStart"/>
      <w:r>
        <w:rPr>
          <w:rFonts w:ascii="Helvetica" w:eastAsiaTheme="minorHAnsi" w:hAnsi="Helvetica" w:cs="Helvetica"/>
          <w:sz w:val="20"/>
          <w:szCs w:val="20"/>
          <w:lang w:eastAsia="en-US"/>
        </w:rPr>
        <w:t>darf</w:t>
      </w:r>
      <w:proofErr w:type="gramEnd"/>
      <w:r>
        <w:rPr>
          <w:rFonts w:ascii="Helvetica" w:eastAsiaTheme="minorHAnsi" w:hAnsi="Helvetica" w:cs="Helvetica"/>
          <w:sz w:val="20"/>
          <w:szCs w:val="20"/>
          <w:lang w:eastAsia="en-US"/>
        </w:rPr>
        <w:t xml:space="preserve"> ein Drittel der Gesamtzensur nicht unterschreiten. </w:t>
      </w:r>
    </w:p>
    <w:p w:rsidR="00337FAE" w:rsidRPr="00FB6103" w:rsidRDefault="00337FAE" w:rsidP="00337FAE">
      <w:pPr>
        <w:suppressAutoHyphens w:val="0"/>
        <w:autoSpaceDE w:val="0"/>
        <w:autoSpaceDN w:val="0"/>
        <w:adjustRightInd w:val="0"/>
        <w:spacing w:line="240" w:lineRule="auto"/>
        <w:rPr>
          <w:rFonts w:ascii="Helvetica" w:eastAsiaTheme="minorHAnsi" w:hAnsi="Helvetica" w:cs="Helvetica"/>
          <w:szCs w:val="22"/>
          <w:lang w:eastAsia="en-US"/>
        </w:rPr>
      </w:pPr>
      <w:r w:rsidRPr="00FB6103">
        <w:rPr>
          <w:rFonts w:ascii="Helvetica" w:eastAsiaTheme="minorHAnsi" w:hAnsi="Helvetica" w:cs="Helvetica"/>
          <w:szCs w:val="22"/>
          <w:lang w:eastAsia="en-US"/>
        </w:rPr>
        <w:t>Neben der kontinuierlichen Beobachtung der Schülerinnen und Schüler im Lernprozess und ihrer individuellen Lernfortschritte, die in der Dokumentation der individuellen Lernentwicklung erfasst werden, sind die Ergebnisse schriftlicher, mündlicher und anderer spezifischer Lernkontrollen sowie praktischen Tuns und Handelns zur Leistungsfeststellung heranzuziehen.</w:t>
      </w:r>
    </w:p>
    <w:p w:rsidR="00FB6103" w:rsidRPr="00FB6103" w:rsidRDefault="00FB6103" w:rsidP="00337FAE">
      <w:pPr>
        <w:suppressAutoHyphens w:val="0"/>
        <w:autoSpaceDE w:val="0"/>
        <w:autoSpaceDN w:val="0"/>
        <w:adjustRightInd w:val="0"/>
        <w:spacing w:line="240" w:lineRule="auto"/>
        <w:rPr>
          <w:szCs w:val="22"/>
        </w:rPr>
      </w:pPr>
    </w:p>
    <w:p w:rsidR="00337FAE" w:rsidRPr="00FB6103" w:rsidRDefault="00337FAE" w:rsidP="00337FAE">
      <w:pPr>
        <w:numPr>
          <w:ilvl w:val="0"/>
          <w:numId w:val="2"/>
        </w:numPr>
        <w:tabs>
          <w:tab w:val="left" w:pos="388"/>
        </w:tabs>
        <w:ind w:left="0" w:firstLine="0"/>
        <w:rPr>
          <w:b/>
          <w:bCs/>
          <w:szCs w:val="22"/>
        </w:rPr>
      </w:pPr>
      <w:r w:rsidRPr="00FB6103">
        <w:rPr>
          <w:b/>
          <w:bCs/>
          <w:szCs w:val="22"/>
        </w:rPr>
        <w:t>Anzahl der verbindlichen Lernkontrollen im Schuljahr:</w:t>
      </w:r>
    </w:p>
    <w:p w:rsidR="00337FAE" w:rsidRPr="00CC099D" w:rsidRDefault="00337FAE" w:rsidP="00337FAE">
      <w:pPr>
        <w:rPr>
          <w:b/>
          <w:bCs/>
          <w:sz w:val="16"/>
          <w:szCs w:val="16"/>
        </w:rPr>
      </w:pPr>
    </w:p>
    <w:tbl>
      <w:tblPr>
        <w:tblW w:w="7628" w:type="dxa"/>
        <w:tblInd w:w="-5" w:type="dxa"/>
        <w:tblLayout w:type="fixed"/>
        <w:tblCellMar>
          <w:left w:w="70" w:type="dxa"/>
          <w:right w:w="70" w:type="dxa"/>
        </w:tblCellMar>
        <w:tblLook w:val="0000" w:firstRow="0" w:lastRow="0" w:firstColumn="0" w:lastColumn="0" w:noHBand="0" w:noVBand="0"/>
      </w:tblPr>
      <w:tblGrid>
        <w:gridCol w:w="3014"/>
        <w:gridCol w:w="2285"/>
        <w:gridCol w:w="2329"/>
      </w:tblGrid>
      <w:tr w:rsidR="005F1399" w:rsidRPr="00FB6103" w:rsidTr="005F1399">
        <w:trPr>
          <w:trHeight w:val="203"/>
        </w:trPr>
        <w:tc>
          <w:tcPr>
            <w:tcW w:w="3014"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rPr>
                <w:szCs w:val="22"/>
              </w:rPr>
            </w:pPr>
          </w:p>
        </w:tc>
        <w:tc>
          <w:tcPr>
            <w:tcW w:w="2285"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jc w:val="center"/>
              <w:rPr>
                <w:b/>
                <w:bCs/>
                <w:szCs w:val="22"/>
              </w:rPr>
            </w:pPr>
            <w:r w:rsidRPr="00FB6103">
              <w:rPr>
                <w:b/>
                <w:bCs/>
                <w:szCs w:val="22"/>
              </w:rPr>
              <w:t xml:space="preserve">9. </w:t>
            </w:r>
            <w:proofErr w:type="spellStart"/>
            <w:r w:rsidRPr="00FB6103">
              <w:rPr>
                <w:b/>
                <w:bCs/>
                <w:szCs w:val="22"/>
              </w:rPr>
              <w:t>Jahrg</w:t>
            </w:r>
            <w:proofErr w:type="spellEnd"/>
            <w:r w:rsidRPr="00FB6103">
              <w:rPr>
                <w:b/>
                <w:bCs/>
                <w:szCs w:val="22"/>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F1399" w:rsidRPr="00FB6103" w:rsidRDefault="005F1399" w:rsidP="008D7AA3">
            <w:pPr>
              <w:snapToGrid w:val="0"/>
              <w:jc w:val="center"/>
              <w:rPr>
                <w:b/>
                <w:bCs/>
                <w:szCs w:val="22"/>
              </w:rPr>
            </w:pPr>
            <w:r w:rsidRPr="00FB6103">
              <w:rPr>
                <w:b/>
                <w:bCs/>
                <w:szCs w:val="22"/>
              </w:rPr>
              <w:t xml:space="preserve">10. </w:t>
            </w:r>
            <w:proofErr w:type="spellStart"/>
            <w:r w:rsidRPr="00FB6103">
              <w:rPr>
                <w:b/>
                <w:bCs/>
                <w:szCs w:val="22"/>
              </w:rPr>
              <w:t>Jahrg</w:t>
            </w:r>
            <w:proofErr w:type="spellEnd"/>
            <w:r w:rsidRPr="00FB6103">
              <w:rPr>
                <w:b/>
                <w:bCs/>
                <w:szCs w:val="22"/>
              </w:rPr>
              <w:t>.</w:t>
            </w:r>
          </w:p>
        </w:tc>
      </w:tr>
      <w:tr w:rsidR="005F1399" w:rsidRPr="00FB6103" w:rsidTr="005F1399">
        <w:trPr>
          <w:trHeight w:val="250"/>
        </w:trPr>
        <w:tc>
          <w:tcPr>
            <w:tcW w:w="3014"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spacing w:before="60"/>
              <w:rPr>
                <w:szCs w:val="22"/>
              </w:rPr>
            </w:pPr>
            <w:r w:rsidRPr="00FB6103">
              <w:rPr>
                <w:szCs w:val="22"/>
              </w:rPr>
              <w:t>Wochenstunden</w:t>
            </w:r>
          </w:p>
        </w:tc>
        <w:tc>
          <w:tcPr>
            <w:tcW w:w="2285"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spacing w:before="60"/>
              <w:jc w:val="center"/>
              <w:rPr>
                <w:szCs w:val="22"/>
              </w:rPr>
            </w:pPr>
            <w:r>
              <w:rPr>
                <w:szCs w:val="22"/>
              </w:rPr>
              <w:t>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F1399" w:rsidRPr="00FB6103" w:rsidRDefault="005F1399" w:rsidP="008D7AA3">
            <w:pPr>
              <w:snapToGrid w:val="0"/>
              <w:spacing w:before="60"/>
              <w:jc w:val="center"/>
              <w:rPr>
                <w:szCs w:val="22"/>
              </w:rPr>
            </w:pPr>
            <w:r>
              <w:rPr>
                <w:szCs w:val="22"/>
              </w:rPr>
              <w:t>4</w:t>
            </w:r>
          </w:p>
        </w:tc>
      </w:tr>
      <w:tr w:rsidR="005F1399" w:rsidRPr="00FB6103" w:rsidTr="005F1399">
        <w:trPr>
          <w:trHeight w:val="455"/>
        </w:trPr>
        <w:tc>
          <w:tcPr>
            <w:tcW w:w="3014"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spacing w:before="60"/>
              <w:rPr>
                <w:szCs w:val="22"/>
              </w:rPr>
            </w:pPr>
            <w:r w:rsidRPr="00FB6103">
              <w:rPr>
                <w:szCs w:val="22"/>
              </w:rPr>
              <w:t>Zahl der schriftl. Lernkontrollen</w:t>
            </w:r>
          </w:p>
        </w:tc>
        <w:tc>
          <w:tcPr>
            <w:tcW w:w="2285" w:type="dxa"/>
            <w:tcBorders>
              <w:top w:val="single" w:sz="4" w:space="0" w:color="000000"/>
              <w:left w:val="single" w:sz="4" w:space="0" w:color="000000"/>
              <w:bottom w:val="single" w:sz="4" w:space="0" w:color="000000"/>
            </w:tcBorders>
            <w:shd w:val="clear" w:color="auto" w:fill="auto"/>
            <w:vAlign w:val="center"/>
          </w:tcPr>
          <w:p w:rsidR="005F1399" w:rsidRPr="00FB6103" w:rsidRDefault="00CC099D" w:rsidP="008D7AA3">
            <w:pPr>
              <w:snapToGrid w:val="0"/>
              <w:spacing w:before="60"/>
              <w:jc w:val="center"/>
              <w:rPr>
                <w:szCs w:val="22"/>
              </w:rPr>
            </w:pPr>
            <w:r>
              <w:rPr>
                <w:szCs w:val="22"/>
              </w:rPr>
              <w:t>1 + 1 Mappe</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99" w:rsidRPr="00FB6103" w:rsidRDefault="00CC099D" w:rsidP="008D7AA3">
            <w:pPr>
              <w:snapToGrid w:val="0"/>
              <w:spacing w:before="60"/>
              <w:jc w:val="center"/>
              <w:rPr>
                <w:szCs w:val="22"/>
              </w:rPr>
            </w:pPr>
            <w:r>
              <w:rPr>
                <w:szCs w:val="22"/>
              </w:rPr>
              <w:t>1 + 1 Mappe</w:t>
            </w:r>
          </w:p>
        </w:tc>
      </w:tr>
      <w:tr w:rsidR="005F1399" w:rsidRPr="00FB6103" w:rsidTr="005F1399">
        <w:trPr>
          <w:trHeight w:val="262"/>
        </w:trPr>
        <w:tc>
          <w:tcPr>
            <w:tcW w:w="3014"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spacing w:before="60"/>
              <w:rPr>
                <w:szCs w:val="22"/>
              </w:rPr>
            </w:pPr>
            <w:r w:rsidRPr="00FB6103">
              <w:rPr>
                <w:szCs w:val="22"/>
              </w:rPr>
              <w:t>max. Dauer</w:t>
            </w:r>
          </w:p>
        </w:tc>
        <w:tc>
          <w:tcPr>
            <w:tcW w:w="2285" w:type="dxa"/>
            <w:tcBorders>
              <w:top w:val="single" w:sz="4" w:space="0" w:color="000000"/>
              <w:left w:val="single" w:sz="4" w:space="0" w:color="000000"/>
              <w:bottom w:val="single" w:sz="4" w:space="0" w:color="000000"/>
            </w:tcBorders>
            <w:shd w:val="clear" w:color="auto" w:fill="auto"/>
          </w:tcPr>
          <w:p w:rsidR="005F1399" w:rsidRPr="00FB6103" w:rsidRDefault="005F1399" w:rsidP="008D7AA3">
            <w:pPr>
              <w:snapToGrid w:val="0"/>
              <w:spacing w:before="60"/>
              <w:jc w:val="center"/>
              <w:rPr>
                <w:szCs w:val="22"/>
              </w:rPr>
            </w:pPr>
            <w:r>
              <w:rPr>
                <w:szCs w:val="22"/>
              </w:rPr>
              <w:t>2</w:t>
            </w:r>
            <w:r w:rsidRPr="00FB6103">
              <w:rPr>
                <w:szCs w:val="22"/>
              </w:rPr>
              <w:t xml:space="preserve"> Std.</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F1399" w:rsidRPr="00FB6103" w:rsidRDefault="005F1399" w:rsidP="008D7AA3">
            <w:pPr>
              <w:snapToGrid w:val="0"/>
              <w:spacing w:before="60"/>
              <w:jc w:val="center"/>
              <w:rPr>
                <w:szCs w:val="22"/>
              </w:rPr>
            </w:pPr>
            <w:r w:rsidRPr="00FB6103">
              <w:rPr>
                <w:szCs w:val="22"/>
              </w:rPr>
              <w:t>2 Std.</w:t>
            </w:r>
          </w:p>
        </w:tc>
      </w:tr>
    </w:tbl>
    <w:p w:rsidR="00337FAE" w:rsidRPr="00CC099D" w:rsidRDefault="00337FAE" w:rsidP="00337FAE">
      <w:pPr>
        <w:rPr>
          <w:sz w:val="16"/>
          <w:szCs w:val="16"/>
        </w:rPr>
      </w:pPr>
    </w:p>
    <w:p w:rsidR="00337FAE" w:rsidRPr="00FB6103" w:rsidRDefault="00337FAE" w:rsidP="00337FAE">
      <w:pPr>
        <w:numPr>
          <w:ilvl w:val="0"/>
          <w:numId w:val="3"/>
        </w:numPr>
        <w:tabs>
          <w:tab w:val="left" w:pos="360"/>
        </w:tabs>
        <w:rPr>
          <w:b/>
          <w:bCs/>
          <w:szCs w:val="22"/>
        </w:rPr>
      </w:pPr>
      <w:r w:rsidRPr="00FB6103">
        <w:rPr>
          <w:b/>
          <w:bCs/>
          <w:szCs w:val="22"/>
        </w:rPr>
        <w:t xml:space="preserve">Benotung: </w:t>
      </w:r>
    </w:p>
    <w:tbl>
      <w:tblPr>
        <w:tblW w:w="0" w:type="auto"/>
        <w:tblInd w:w="-115" w:type="dxa"/>
        <w:tblLayout w:type="fixed"/>
        <w:tblCellMar>
          <w:left w:w="70" w:type="dxa"/>
          <w:right w:w="70" w:type="dxa"/>
        </w:tblCellMar>
        <w:tblLook w:val="0000" w:firstRow="0" w:lastRow="0" w:firstColumn="0" w:lastColumn="0" w:noHBand="0" w:noVBand="0"/>
      </w:tblPr>
      <w:tblGrid>
        <w:gridCol w:w="4863"/>
        <w:gridCol w:w="4469"/>
      </w:tblGrid>
      <w:tr w:rsidR="00337FAE" w:rsidRPr="00FB6103" w:rsidTr="008D7AA3">
        <w:tc>
          <w:tcPr>
            <w:tcW w:w="4863" w:type="dxa"/>
            <w:tcBorders>
              <w:top w:val="single" w:sz="4" w:space="0" w:color="000000"/>
              <w:left w:val="single" w:sz="4" w:space="0" w:color="000000"/>
              <w:bottom w:val="single" w:sz="4" w:space="0" w:color="000000"/>
            </w:tcBorders>
            <w:shd w:val="clear" w:color="auto" w:fill="auto"/>
          </w:tcPr>
          <w:p w:rsidR="00337FAE" w:rsidRPr="00FB6103" w:rsidRDefault="00337FAE" w:rsidP="008D7AA3">
            <w:pPr>
              <w:snapToGrid w:val="0"/>
              <w:jc w:val="center"/>
              <w:rPr>
                <w:b/>
                <w:bCs/>
                <w:szCs w:val="22"/>
              </w:rPr>
            </w:pPr>
            <w:r w:rsidRPr="00FB6103">
              <w:rPr>
                <w:b/>
                <w:bCs/>
                <w:szCs w:val="22"/>
              </w:rPr>
              <w:t>M</w:t>
            </w:r>
            <w:r w:rsidR="00CC099D">
              <w:rPr>
                <w:b/>
                <w:bCs/>
                <w:szCs w:val="22"/>
              </w:rPr>
              <w:t>ündliche Leistungsüberprüfung (6</w:t>
            </w:r>
            <w:r w:rsidRPr="00FB6103">
              <w:rPr>
                <w:b/>
                <w:bCs/>
                <w:szCs w:val="22"/>
              </w:rPr>
              <w:t>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337FAE" w:rsidRPr="00FB6103" w:rsidRDefault="00337FAE" w:rsidP="008D7AA3">
            <w:pPr>
              <w:pStyle w:val="berschrift1"/>
              <w:snapToGrid w:val="0"/>
              <w:jc w:val="center"/>
              <w:rPr>
                <w:szCs w:val="22"/>
              </w:rPr>
            </w:pPr>
            <w:r w:rsidRPr="00FB6103">
              <w:rPr>
                <w:szCs w:val="22"/>
              </w:rPr>
              <w:t>Schr</w:t>
            </w:r>
            <w:r w:rsidR="00CC099D">
              <w:rPr>
                <w:szCs w:val="22"/>
              </w:rPr>
              <w:t>iftliche Leistungsüberprüfung (4</w:t>
            </w:r>
            <w:r w:rsidRPr="00FB6103">
              <w:rPr>
                <w:szCs w:val="22"/>
              </w:rPr>
              <w:t>0%)</w:t>
            </w:r>
          </w:p>
        </w:tc>
      </w:tr>
    </w:tbl>
    <w:p w:rsidR="00B7398E" w:rsidRPr="00CC099D" w:rsidRDefault="00B7398E" w:rsidP="00CC099D">
      <w:pPr>
        <w:pStyle w:val="Textkrper31"/>
        <w:rPr>
          <w:rFonts w:ascii="Century Gothic" w:hAnsi="Century Gothic"/>
          <w:sz w:val="16"/>
          <w:szCs w:val="16"/>
        </w:rPr>
      </w:pPr>
      <w:bookmarkStart w:id="0" w:name="_GoBack"/>
      <w:bookmarkEnd w:id="0"/>
    </w:p>
    <w:sectPr w:rsidR="00B7398E" w:rsidRPr="00CC099D">
      <w:headerReference w:type="default" r:id="rId7"/>
      <w:pgSz w:w="11906" w:h="16838"/>
      <w:pgMar w:top="1417" w:right="1286" w:bottom="1134"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69" w:rsidRDefault="00B90369">
      <w:pPr>
        <w:spacing w:line="240" w:lineRule="auto"/>
      </w:pPr>
      <w:r>
        <w:separator/>
      </w:r>
    </w:p>
  </w:endnote>
  <w:endnote w:type="continuationSeparator" w:id="0">
    <w:p w:rsidR="00B90369" w:rsidRDefault="00B90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69" w:rsidRDefault="00B90369">
      <w:pPr>
        <w:spacing w:line="240" w:lineRule="auto"/>
      </w:pPr>
      <w:r>
        <w:separator/>
      </w:r>
    </w:p>
  </w:footnote>
  <w:footnote w:type="continuationSeparator" w:id="0">
    <w:p w:rsidR="00B90369" w:rsidRDefault="00B903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0" w:rsidRDefault="00337FAE">
    <w:pPr>
      <w:pStyle w:val="Kopfzeile"/>
      <w:pBdr>
        <w:bottom w:val="single" w:sz="4" w:space="0" w:color="000000"/>
      </w:pBdr>
    </w:pPr>
    <w:r>
      <w:rPr>
        <w:noProof/>
        <w:lang w:eastAsia="de-DE"/>
      </w:rPr>
      <w:drawing>
        <wp:anchor distT="0" distB="0" distL="114935" distR="114935" simplePos="0" relativeHeight="251659264" behindDoc="1" locked="0" layoutInCell="1" allowOverlap="1">
          <wp:simplePos x="0" y="0"/>
          <wp:positionH relativeFrom="column">
            <wp:posOffset>-444500</wp:posOffset>
          </wp:positionH>
          <wp:positionV relativeFrom="paragraph">
            <wp:posOffset>-154940</wp:posOffset>
          </wp:positionV>
          <wp:extent cx="654050" cy="5461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5E54">
      <w:tab/>
      <w:t>Lernkontrollen und Leistungsbewertung</w:t>
    </w:r>
    <w:r w:rsidR="00475E54">
      <w:tab/>
      <w:t>FB AWT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upperRoman"/>
      <w:lvlText w:val="%1."/>
      <w:lvlJc w:val="left"/>
      <w:pPr>
        <w:tabs>
          <w:tab w:val="num" w:pos="720"/>
        </w:tabs>
        <w:ind w:left="397" w:hanging="397"/>
      </w:pPr>
    </w:lvl>
  </w:abstractNum>
  <w:abstractNum w:abstractNumId="2" w15:restartNumberingAfterBreak="0">
    <w:nsid w:val="00000003"/>
    <w:multiLevelType w:val="singleLevel"/>
    <w:tmpl w:val="00000003"/>
    <w:name w:val="WW8Num6"/>
    <w:lvl w:ilvl="0">
      <w:start w:val="3"/>
      <w:numFmt w:val="upperRoman"/>
      <w:lvlText w:val="%1."/>
      <w:lvlJc w:val="left"/>
      <w:pPr>
        <w:tabs>
          <w:tab w:val="num" w:pos="720"/>
        </w:tabs>
        <w:ind w:left="397" w:hanging="397"/>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E"/>
    <w:rsid w:val="0022184E"/>
    <w:rsid w:val="00337FAE"/>
    <w:rsid w:val="00450F47"/>
    <w:rsid w:val="00475E54"/>
    <w:rsid w:val="00530B47"/>
    <w:rsid w:val="005F1399"/>
    <w:rsid w:val="006F16CB"/>
    <w:rsid w:val="007B16B0"/>
    <w:rsid w:val="007E54AD"/>
    <w:rsid w:val="008E6ACE"/>
    <w:rsid w:val="00B7398E"/>
    <w:rsid w:val="00B840C4"/>
    <w:rsid w:val="00B90369"/>
    <w:rsid w:val="00CC099D"/>
    <w:rsid w:val="00E644B8"/>
    <w:rsid w:val="00FB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8BF92-7C9F-4A82-9704-FE1823EC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FAE"/>
    <w:pPr>
      <w:suppressAutoHyphens/>
      <w:spacing w:after="0" w:line="312" w:lineRule="auto"/>
    </w:pPr>
    <w:rPr>
      <w:rFonts w:ascii="Bell MT" w:eastAsia="Times New Roman" w:hAnsi="Bell MT" w:cs="Times New Roman"/>
      <w:sz w:val="22"/>
      <w:szCs w:val="24"/>
      <w:lang w:eastAsia="ar-SA"/>
    </w:rPr>
  </w:style>
  <w:style w:type="paragraph" w:styleId="berschrift1">
    <w:name w:val="heading 1"/>
    <w:basedOn w:val="Standard"/>
    <w:next w:val="Standard"/>
    <w:link w:val="berschrift1Zchn"/>
    <w:qFormat/>
    <w:rsid w:val="00337FAE"/>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7FAE"/>
    <w:rPr>
      <w:rFonts w:ascii="Bell MT" w:eastAsia="Times New Roman" w:hAnsi="Bell MT" w:cs="Times New Roman"/>
      <w:b/>
      <w:bCs/>
      <w:sz w:val="22"/>
      <w:szCs w:val="24"/>
      <w:lang w:eastAsia="ar-SA"/>
    </w:rPr>
  </w:style>
  <w:style w:type="paragraph" w:styleId="Textkrper">
    <w:name w:val="Body Text"/>
    <w:basedOn w:val="Standard"/>
    <w:link w:val="TextkrperZchn"/>
    <w:rsid w:val="00337FAE"/>
    <w:pPr>
      <w:pBdr>
        <w:top w:val="single" w:sz="4" w:space="1" w:color="000000"/>
        <w:left w:val="single" w:sz="4" w:space="4" w:color="000000"/>
        <w:bottom w:val="single" w:sz="4" w:space="1" w:color="000000"/>
        <w:right w:val="single" w:sz="4" w:space="4" w:color="000000"/>
      </w:pBdr>
      <w:jc w:val="center"/>
    </w:pPr>
    <w:rPr>
      <w:i/>
      <w:iCs/>
    </w:rPr>
  </w:style>
  <w:style w:type="character" w:customStyle="1" w:styleId="TextkrperZchn">
    <w:name w:val="Textkörper Zchn"/>
    <w:basedOn w:val="Absatz-Standardschriftart"/>
    <w:link w:val="Textkrper"/>
    <w:rsid w:val="00337FAE"/>
    <w:rPr>
      <w:rFonts w:ascii="Bell MT" w:eastAsia="Times New Roman" w:hAnsi="Bell MT" w:cs="Times New Roman"/>
      <w:i/>
      <w:iCs/>
      <w:sz w:val="22"/>
      <w:szCs w:val="24"/>
      <w:lang w:eastAsia="ar-SA"/>
    </w:rPr>
  </w:style>
  <w:style w:type="paragraph" w:styleId="Kopfzeile">
    <w:name w:val="header"/>
    <w:basedOn w:val="Standard"/>
    <w:link w:val="KopfzeileZchn"/>
    <w:rsid w:val="00337FAE"/>
    <w:pPr>
      <w:pBdr>
        <w:bottom w:val="single" w:sz="4" w:space="1" w:color="000000"/>
      </w:pBdr>
      <w:tabs>
        <w:tab w:val="center" w:pos="4536"/>
        <w:tab w:val="right" w:pos="9072"/>
      </w:tabs>
      <w:spacing w:line="240" w:lineRule="auto"/>
    </w:pPr>
    <w:rPr>
      <w:b/>
      <w:sz w:val="18"/>
    </w:rPr>
  </w:style>
  <w:style w:type="character" w:customStyle="1" w:styleId="KopfzeileZchn">
    <w:name w:val="Kopfzeile Zchn"/>
    <w:basedOn w:val="Absatz-Standardschriftart"/>
    <w:link w:val="Kopfzeile"/>
    <w:rsid w:val="00337FAE"/>
    <w:rPr>
      <w:rFonts w:ascii="Bell MT" w:eastAsia="Times New Roman" w:hAnsi="Bell MT" w:cs="Times New Roman"/>
      <w:b/>
      <w:sz w:val="18"/>
      <w:szCs w:val="24"/>
      <w:lang w:eastAsia="ar-SA"/>
    </w:rPr>
  </w:style>
  <w:style w:type="paragraph" w:customStyle="1" w:styleId="Textkrper31">
    <w:name w:val="Textkörper 31"/>
    <w:basedOn w:val="Standard"/>
    <w:rsid w:val="00337FAE"/>
    <w:rPr>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Hoffmann</dc:creator>
  <cp:keywords/>
  <dc:description/>
  <cp:lastModifiedBy>Gertrud Hoffmann</cp:lastModifiedBy>
  <cp:revision>5</cp:revision>
  <dcterms:created xsi:type="dcterms:W3CDTF">2015-03-18T16:47:00Z</dcterms:created>
  <dcterms:modified xsi:type="dcterms:W3CDTF">2015-09-11T13:39:00Z</dcterms:modified>
</cp:coreProperties>
</file>